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C3" w:rsidRDefault="00FA4062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3B63C3" w:rsidRDefault="00FA4062">
      <w:pPr>
        <w:spacing w:after="150"/>
        <w:jc w:val="center"/>
      </w:pPr>
      <w:r>
        <w:rPr>
          <w:b/>
          <w:color w:val="000000"/>
        </w:rPr>
        <w:t>1390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3B63C3" w:rsidRDefault="00FA4062">
      <w:pPr>
        <w:spacing w:after="225"/>
        <w:jc w:val="center"/>
      </w:pPr>
      <w:r>
        <w:rPr>
          <w:b/>
          <w:color w:val="000000"/>
        </w:rPr>
        <w:t>УРЕДБУ</w:t>
      </w:r>
    </w:p>
    <w:p w:rsidR="003B63C3" w:rsidRDefault="00FA4062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поступку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дужничких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поједностављени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2.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Појмови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3.</w:t>
      </w:r>
    </w:p>
    <w:p w:rsidR="003B63C3" w:rsidRDefault="00FA4062">
      <w:pPr>
        <w:spacing w:after="150"/>
      </w:pPr>
      <w:proofErr w:type="spellStart"/>
      <w:proofErr w:type="gram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оглашавање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</w:t>
      </w:r>
      <w:r>
        <w:rPr>
          <w:color w:val="000000"/>
        </w:rPr>
        <w:t>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</w:t>
      </w:r>
      <w:proofErr w:type="spellEnd"/>
      <w:r>
        <w:rPr>
          <w:color w:val="000000"/>
        </w:rPr>
        <w:t>.</w:t>
      </w:r>
      <w:proofErr w:type="gramEnd"/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ревизорске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здаваоца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проспекту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упућивањем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линковањем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</w:t>
      </w:r>
      <w:r>
        <w:rPr>
          <w:color w:val="000000"/>
        </w:rPr>
        <w:t>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конкретна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менаџмента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сачини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консолидовани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</w:t>
      </w:r>
      <w:r>
        <w:rPr>
          <w:color w:val="000000"/>
        </w:rPr>
        <w:t>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рачуноводство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изд</w:t>
      </w:r>
      <w:r>
        <w:rPr>
          <w:color w:val="000000"/>
        </w:rPr>
        <w:t>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прикаже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Изд</w:t>
      </w:r>
      <w:r>
        <w:rPr>
          <w:color w:val="000000"/>
        </w:rPr>
        <w:t>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задр</w:t>
      </w:r>
      <w:r>
        <w:rPr>
          <w:color w:val="000000"/>
        </w:rPr>
        <w:t>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акционарско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стицањем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МТП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одобрењу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10.</w:t>
      </w:r>
    </w:p>
    <w:p w:rsidR="003B63C3" w:rsidRDefault="00FA4062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поједностављену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11.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lastRenderedPageBreak/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уведеног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180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12.</w:t>
      </w:r>
    </w:p>
    <w:p w:rsidR="003B63C3" w:rsidRDefault="00FA4062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3B63C3" w:rsidRDefault="00FA4062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110-3133/2020-1</w:t>
      </w:r>
    </w:p>
    <w:p w:rsidR="003B63C3" w:rsidRDefault="00FA406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3B63C3" w:rsidRDefault="00FA406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3B63C3" w:rsidRDefault="00FA406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3B63C3" w:rsidRDefault="00FA4062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3B63C3" w:rsidRDefault="00FA406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3B63C3" w:rsidRDefault="00FA4062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3B63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C3"/>
    <w:rsid w:val="003B63C3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E6C55-0380-46E7-8B26-351853E8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Vucicevic</dc:creator>
  <cp:lastModifiedBy>Mirjana Vucicevic</cp:lastModifiedBy>
  <cp:revision>2</cp:revision>
  <dcterms:created xsi:type="dcterms:W3CDTF">2020-04-10T21:07:00Z</dcterms:created>
  <dcterms:modified xsi:type="dcterms:W3CDTF">2020-04-10T21:07:00Z</dcterms:modified>
</cp:coreProperties>
</file>